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F2" w:rsidRPr="00E20915" w:rsidRDefault="00C92AF2" w:rsidP="00C92AF2">
      <w:pPr>
        <w:spacing w:after="120"/>
        <w:ind w:left="1"/>
        <w:jc w:val="right"/>
        <w:rPr>
          <w:b/>
          <w:bCs/>
          <w:iCs/>
          <w:lang w:val="hy-AM"/>
        </w:rPr>
      </w:pPr>
      <w:bookmarkStart w:id="0" w:name="_GoBack"/>
      <w:bookmarkEnd w:id="0"/>
    </w:p>
    <w:p w:rsidR="00C92AF2" w:rsidRPr="00E20915" w:rsidRDefault="00C92AF2" w:rsidP="00C92AF2">
      <w:pPr>
        <w:spacing w:after="120"/>
        <w:ind w:left="1"/>
        <w:jc w:val="center"/>
        <w:rPr>
          <w:rFonts w:cs="Sylfaen"/>
          <w:b/>
          <w:bCs/>
          <w:iCs/>
          <w:lang w:val="hy-AM"/>
        </w:rPr>
      </w:pPr>
      <w:r w:rsidRPr="00E20915">
        <w:rPr>
          <w:b/>
          <w:bCs/>
          <w:iCs/>
          <w:lang w:val="hy-AM"/>
        </w:rPr>
        <w:t>«Մարդու իրավունքների պաշտպանություն և ք</w:t>
      </w:r>
      <w:r w:rsidRPr="00E20915">
        <w:rPr>
          <w:rFonts w:cs="Sylfaen"/>
          <w:b/>
          <w:bCs/>
          <w:iCs/>
          <w:lang w:val="hy-AM"/>
        </w:rPr>
        <w:t>աղաքացիական</w:t>
      </w:r>
      <w:r w:rsidRPr="00E20915">
        <w:rPr>
          <w:b/>
          <w:bCs/>
          <w:iCs/>
          <w:lang w:val="hy-AM"/>
        </w:rPr>
        <w:t xml:space="preserve"> </w:t>
      </w:r>
      <w:r w:rsidRPr="00E20915">
        <w:rPr>
          <w:rFonts w:cs="Sylfaen"/>
          <w:b/>
          <w:bCs/>
          <w:iCs/>
          <w:lang w:val="hy-AM"/>
        </w:rPr>
        <w:t>հասարակության</w:t>
      </w:r>
      <w:r w:rsidRPr="00E20915">
        <w:rPr>
          <w:b/>
          <w:bCs/>
          <w:iCs/>
          <w:lang w:val="hy-AM"/>
        </w:rPr>
        <w:t xml:space="preserve"> </w:t>
      </w:r>
      <w:r w:rsidRPr="00E20915">
        <w:rPr>
          <w:rFonts w:cs="Sylfaen"/>
          <w:b/>
          <w:bCs/>
          <w:iCs/>
          <w:lang w:val="hy-AM"/>
        </w:rPr>
        <w:t>հզորացում ՀՀ մարզերում</w:t>
      </w:r>
      <w:r w:rsidRPr="00E20915">
        <w:rPr>
          <w:rFonts w:cs="Times Armenian"/>
          <w:b/>
          <w:bCs/>
          <w:iCs/>
          <w:lang w:val="hy-AM"/>
        </w:rPr>
        <w:t>»</w:t>
      </w:r>
      <w:r w:rsidRPr="00E20915">
        <w:rPr>
          <w:rFonts w:cs="Sylfaen"/>
          <w:b/>
          <w:bCs/>
          <w:iCs/>
          <w:lang w:val="hy-AM"/>
        </w:rPr>
        <w:t xml:space="preserve"> 2022-2024 թթ</w:t>
      </w:r>
      <w:r w:rsidRPr="00E20915">
        <w:rPr>
          <w:rFonts w:hAnsi="Times New Roman"/>
          <w:b/>
          <w:bCs/>
          <w:iCs/>
          <w:lang w:val="hy-AM"/>
        </w:rPr>
        <w:t>․</w:t>
      </w:r>
      <w:r w:rsidRPr="00E20915">
        <w:rPr>
          <w:rFonts w:cs="Times Armenian"/>
          <w:b/>
          <w:bCs/>
          <w:iCs/>
          <w:lang w:val="hy-AM"/>
        </w:rPr>
        <w:t xml:space="preserve"> </w:t>
      </w:r>
      <w:r w:rsidRPr="00E20915">
        <w:rPr>
          <w:rFonts w:cs="Sylfaen"/>
          <w:b/>
          <w:bCs/>
          <w:iCs/>
          <w:lang w:val="hy-AM"/>
        </w:rPr>
        <w:t>ծրագրի շրջանակներում տրամադրվող ենթադրամաշնորհների համար առաջարկվող</w:t>
      </w:r>
      <w:r w:rsidRPr="00E20915">
        <w:rPr>
          <w:b/>
          <w:bCs/>
          <w:iCs/>
          <w:lang w:val="hy-AM"/>
        </w:rPr>
        <w:t xml:space="preserve"> գերակա </w:t>
      </w:r>
      <w:r w:rsidRPr="00E20915">
        <w:rPr>
          <w:rFonts w:cs="Sylfaen"/>
          <w:b/>
          <w:bCs/>
          <w:iCs/>
          <w:lang w:val="hy-AM"/>
        </w:rPr>
        <w:t>թեմաները</w:t>
      </w:r>
    </w:p>
    <w:p w:rsidR="00C92AF2" w:rsidRPr="00E20915" w:rsidRDefault="00C92AF2" w:rsidP="00C92AF2">
      <w:pPr>
        <w:spacing w:after="120"/>
        <w:ind w:left="1"/>
        <w:jc w:val="center"/>
        <w:rPr>
          <w:b/>
          <w:bCs/>
          <w:iCs/>
          <w:lang w:val="hy-AM"/>
        </w:rPr>
      </w:pPr>
    </w:p>
    <w:p w:rsidR="00C92AF2" w:rsidRPr="00E20915" w:rsidRDefault="00C92AF2" w:rsidP="00C92AF2">
      <w:pPr>
        <w:spacing w:after="120"/>
        <w:ind w:firstLine="567"/>
        <w:rPr>
          <w:bCs/>
          <w:color w:val="000000"/>
          <w:lang w:val="hy-AM" w:eastAsia="ru-RU"/>
        </w:rPr>
      </w:pPr>
      <w:r w:rsidRPr="00E20915">
        <w:rPr>
          <w:bCs/>
          <w:color w:val="000000"/>
          <w:lang w:val="hy-AM" w:eastAsia="ru-RU"/>
        </w:rPr>
        <w:t>Ընդհանուր առմամբ տրամադրվելու են մշտադիտարկման և սկսնակ ՀԿ-ների հզորացման և հետազոտական-վերլուծական ենթադրամաշնորհներ հետևյալ ուղղություններով</w:t>
      </w:r>
      <w:r w:rsidRPr="00E20915">
        <w:rPr>
          <w:rFonts w:hAnsi="Times New Roman"/>
          <w:bCs/>
          <w:color w:val="000000"/>
          <w:lang w:val="hy-AM" w:eastAsia="ru-RU"/>
        </w:rPr>
        <w:t>․</w:t>
      </w:r>
    </w:p>
    <w:p w:rsidR="00C92AF2" w:rsidRPr="00E20915" w:rsidRDefault="00C92AF2" w:rsidP="00C92AF2">
      <w:pPr>
        <w:numPr>
          <w:ilvl w:val="0"/>
          <w:numId w:val="1"/>
        </w:numPr>
        <w:tabs>
          <w:tab w:val="clear" w:pos="720"/>
        </w:tabs>
        <w:spacing w:after="120"/>
        <w:ind w:left="426"/>
        <w:rPr>
          <w:b/>
          <w:color w:val="000000"/>
          <w:lang w:val="hy-AM" w:eastAsia="ru-RU"/>
        </w:rPr>
      </w:pPr>
      <w:r w:rsidRPr="00E20915">
        <w:rPr>
          <w:b/>
          <w:color w:val="000000"/>
          <w:lang w:val="hy-AM" w:eastAsia="ru-RU"/>
        </w:rPr>
        <w:t>հանրային վերահսկողության՝ մշտադիտարկման և հանրային մասնակցության ծրագիր-Հայտեր,*</w:t>
      </w:r>
    </w:p>
    <w:p w:rsidR="00C92AF2" w:rsidRPr="00E20915" w:rsidRDefault="00C92AF2" w:rsidP="00C92AF2">
      <w:pPr>
        <w:numPr>
          <w:ilvl w:val="0"/>
          <w:numId w:val="1"/>
        </w:numPr>
        <w:tabs>
          <w:tab w:val="clear" w:pos="720"/>
        </w:tabs>
        <w:spacing w:after="120"/>
        <w:ind w:left="426"/>
        <w:rPr>
          <w:b/>
          <w:color w:val="000000"/>
          <w:lang w:val="hy-AM" w:eastAsia="ru-RU"/>
        </w:rPr>
      </w:pPr>
      <w:r w:rsidRPr="00E20915">
        <w:rPr>
          <w:b/>
          <w:color w:val="000000"/>
          <w:lang w:val="hy-AM" w:eastAsia="ru-RU"/>
        </w:rPr>
        <w:t>սկսնակ ՔՀԿ-ների կարողությունների հզորացում, կենսունակ կազմակերպությունների ստեղծում, ՔՀԿ-ների ինստիտուցիոնալացում,**</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ջատագովության, հանրային քարոզչության և շահերի պաշտպանության նախագծեր. որոշումներ կայացնողների, տարբեր ոլորտներում հայեցակարգերի, ծրագրերի, ռազմավարությունների, ընթացակարգերի, օրակարգերի ձևավորման վրա ազդելու հնարավորությունների օգտագործում,</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նոր դասընթացների և/կամ մեթոդների մշակում և ներմուծում, ներառյալ հեռավար ուսուցում, ուսումնական մոդուլների, ձեռնարկների, մշտադիտարկման զեկույցների մշակումն ու հրատարակում, սոցիալական գովազդների և ուսումնական տեսանյութերի պատրաստում ու հեռարձակում, էլեկտրոնային տեղեկատուների ստեղծում,</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համաժողովների, համայնքի զարգացման բաց տարածք-ֆորումների, սոցիալական նորարարության ճամբարների, փառատոնների, միջոցների հայթայթման տոնավաճառների կազմակերպում և իրականացում,</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գրավիչ և անվտանգ տ</w:t>
      </w:r>
      <w:proofErr w:type="spellStart"/>
      <w:r w:rsidRPr="00E20915">
        <w:rPr>
          <w:color w:val="000000"/>
          <w:lang w:eastAsia="ru-RU"/>
        </w:rPr>
        <w:t>արածակազմակերպ</w:t>
      </w:r>
      <w:proofErr w:type="spellEnd"/>
      <w:r w:rsidRPr="00E20915">
        <w:rPr>
          <w:color w:val="000000"/>
          <w:lang w:val="hy-AM" w:eastAsia="ru-RU"/>
        </w:rPr>
        <w:t>ում,</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իրավական, հասարակական-քաղաքական, սոցիալ-տնտեսական, ժողովրդագրական, տնտեսագիտական, սոցիոլոգիական, մշակութաբանական, կրթամշակութային, բնապահպանական հետազոտություններ, վերլուծություններ,</w:t>
      </w:r>
      <w:r w:rsidRPr="00E20915">
        <w:rPr>
          <w:bCs/>
          <w:iCs/>
          <w:color w:val="000000"/>
          <w:lang w:val="hy-AM" w:eastAsia="ru-RU"/>
        </w:rPr>
        <w:t>***</w:t>
      </w:r>
    </w:p>
    <w:p w:rsidR="00C92AF2" w:rsidRPr="00E20915" w:rsidRDefault="00C92AF2" w:rsidP="00C92AF2">
      <w:pPr>
        <w:numPr>
          <w:ilvl w:val="0"/>
          <w:numId w:val="1"/>
        </w:numPr>
        <w:tabs>
          <w:tab w:val="clear" w:pos="720"/>
        </w:tabs>
        <w:spacing w:after="120"/>
        <w:ind w:left="426"/>
        <w:rPr>
          <w:color w:val="000000"/>
          <w:lang w:val="hy-AM" w:eastAsia="ru-RU"/>
        </w:rPr>
      </w:pPr>
      <w:r w:rsidRPr="00E20915">
        <w:rPr>
          <w:color w:val="000000"/>
          <w:lang w:val="hy-AM" w:eastAsia="ru-RU"/>
        </w:rPr>
        <w:t>հեռուստառադիոհաղորդումների, լրագրային հետաքննությունների, հոդվածների, ակնարկների շարքեր՝ նվիրված սոցիալապես անապահով խմբերի, հաշմանդամություն ունեցող անձանց, տարեցների, կանանց, երեխաների, փախստականների, տեղահանվածների, փոքրամասնությունների իրավունքներին։</w:t>
      </w:r>
    </w:p>
    <w:p w:rsidR="00C92AF2" w:rsidRPr="00E20915" w:rsidRDefault="00C92AF2" w:rsidP="00C92AF2">
      <w:pPr>
        <w:spacing w:after="120"/>
        <w:jc w:val="center"/>
        <w:rPr>
          <w:b/>
          <w:bCs/>
          <w:color w:val="000000"/>
          <w:lang w:val="hy-AM" w:eastAsia="ru-RU"/>
        </w:rPr>
      </w:pPr>
    </w:p>
    <w:p w:rsidR="00C92AF2" w:rsidRPr="00E20915" w:rsidRDefault="00C92AF2" w:rsidP="00C92AF2">
      <w:pPr>
        <w:spacing w:after="120"/>
        <w:jc w:val="center"/>
        <w:rPr>
          <w:b/>
          <w:bCs/>
          <w:color w:val="000000"/>
          <w:lang w:val="hy-AM" w:eastAsia="ru-RU"/>
        </w:rPr>
      </w:pPr>
      <w:r w:rsidRPr="00E20915">
        <w:rPr>
          <w:b/>
          <w:bCs/>
          <w:color w:val="000000"/>
          <w:lang w:val="hy-AM" w:eastAsia="ru-RU"/>
        </w:rPr>
        <w:t>Մեկնաբանություն</w:t>
      </w:r>
    </w:p>
    <w:p w:rsidR="00C92AF2" w:rsidRPr="00E20915" w:rsidRDefault="00C92AF2" w:rsidP="00C92AF2">
      <w:pPr>
        <w:spacing w:after="120"/>
        <w:ind w:firstLine="567"/>
        <w:rPr>
          <w:b/>
          <w:bCs/>
          <w:color w:val="000000"/>
          <w:lang w:val="hy-AM" w:eastAsia="ru-RU"/>
        </w:rPr>
      </w:pPr>
      <w:r w:rsidRPr="00E20915">
        <w:rPr>
          <w:b/>
          <w:bCs/>
          <w:iCs/>
          <w:color w:val="000000"/>
          <w:lang w:val="hy-AM" w:eastAsia="ru-RU"/>
        </w:rPr>
        <w:t>*Մշտադիտարկման ենթադրամաշնորհները ենթադրում են</w:t>
      </w:r>
      <w:r w:rsidRPr="00E20915">
        <w:rPr>
          <w:rFonts w:hAnsi="Times New Roman"/>
          <w:b/>
          <w:bCs/>
          <w:color w:val="000000"/>
          <w:lang w:val="hy-AM" w:eastAsia="ru-RU"/>
        </w:rPr>
        <w:t>․</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մարզերի կամ բազմաբնակավայր համայնքների զարգացման հնգամյա ծրագրերի, բյուջեների մշտադիտարկում-հետազոտություն,</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հաշվետու և թափանցիկ աշխատանքի էլեկտրոնային լուծումներ</w:t>
      </w:r>
      <w:r w:rsidRPr="00E20915">
        <w:rPr>
          <w:rFonts w:hAnsi="Times New Roman"/>
          <w:color w:val="000000"/>
          <w:lang w:val="hy-AM" w:eastAsia="ru-RU"/>
        </w:rPr>
        <w:t>․</w:t>
      </w:r>
      <w:r w:rsidRPr="00E20915">
        <w:rPr>
          <w:color w:val="000000"/>
          <w:lang w:val="hy-AM" w:eastAsia="ru-RU"/>
        </w:rPr>
        <w:t xml:space="preserve"> համայնքների և/կամ հանրակրթական դպրոցների պաշտոնական կայքերի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 xml:space="preserve">հատուկ հաստատությունների (մանկատուն, տարեցների տուն, խնամքի կենտրոններ, գիշերօթիկ հաստատություններ և այլն) պայմանների և գործունեության մշտադիտարկում, </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 xml:space="preserve">ՏԻՄ գործունեության արդյունավետության մշտադիտարկում, </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 xml:space="preserve">բժշկական հաստատություններում ծառայությունների մատչելիության, մասնագետների առկայության, հիվանդների ընդունման, վճարովի ծառայությունների մատուցման և մատչելիության, առաջնային բուժօգնության հասանելիության և այլ գործընթացների մշտադիտարկում, </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lastRenderedPageBreak/>
        <w:t xml:space="preserve">սոցիալական արդարության մշտադիտարկում. բնակչության կենսամակարդակը տարածաշրջաններում, զբաղվածություն, նպաստ, կենսաթոշակ, կրթության հասանելիություն, գրադարանների, բժշկական հաստատությունների հասանելիություն և այլն, </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արդարադատության ոլորտի մշտադիտարկում. առկա խնդիրները և դրանց լուծմանն ուղղված հնարավոր տարբերակներն ու գործողությունները, արդարադատության մատչելիությունն ու արդյունավետությունը, դատարաններ դիմելու համար նախատեսված պետական տուրքերի դրույքաչափերի ողջամտությունը, դատավորների բարեվարքության հետ կապված հարցեր, դատական ակտերի հարկադիր կատարման ծառայությունների որակն ու արդյունավետությունը,</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կոռուպցիոն ռիսկերի բացահայտմանն ուղղված մշտադիտարկում. պետական գնումներ, հանրային տրանսպորտ, համայնքային մրցույթներ,</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համայնքային և միջհամայնքային տրանսպորտի մշտադիտարկում</w:t>
      </w:r>
      <w:r w:rsidRPr="00E20915">
        <w:rPr>
          <w:rFonts w:hAnsi="Times New Roman"/>
          <w:color w:val="000000"/>
          <w:lang w:val="hy-AM" w:eastAsia="ru-RU"/>
        </w:rPr>
        <w:t>․</w:t>
      </w:r>
      <w:r w:rsidRPr="00E20915">
        <w:rPr>
          <w:color w:val="000000"/>
          <w:lang w:val="hy-AM" w:eastAsia="ru-RU"/>
        </w:rPr>
        <w:t xml:space="preserve"> երթուղիների շահագործման հիմնավորվածությունը, սպասարկող մեքենաների և վարորդների որակավորման համապատասխանությունը մրցութային չափորոշիչներին և այլն,</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համընդհանուր ներառականության անցման գործընթացի, բարեվարքության, կոռուպցիոն ռիսկերի կրճատման և որակի ապահովման խնդիրների, հանրակրթության ոլորտում նոր ընդունված չափորոշիչների ազդեցության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հանրակրթական հաստատություններում դպրոցի, ծնողական և աշակերտական խորհուրդների  գործունեության արդյունավետության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հաշմանդամություն ունեցող անձանց համար հանրային նշանակության շինությունների մատչելիության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համայնքների սուբվենցիոն ծրագրերի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համայքների պաշտոնական կայքերի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Հայաստանի տարածքային զարգացման ռազմավարության՝ Շիրակի մարզում նախատեսված ծրագրերի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նոր մոդելի պարեկային ծառայության արդյունավետության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մանկավարժների կամավոր և հերթական ատեստացիայի, վերապատրաստման դասընթացների արդյունավետության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հեռավոր և սահմանային գյուղական համայնքներում և բնակավայրերում կրթության որակի և հասանելիության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 xml:space="preserve">պետական, տարածքային կառավարման, տեղական ինքնակառավարման մարմիններում և դրանց ենթակառուցվածքներում երկարաժամկետ ժամանակավոր պաշտոնակատարների ինստիտուտի նպատակահարմարության մշտադիտարկում, </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44-օրյա պատերազմի ժամանակ և դրանից հետո ադրբեջանական ագրեսիայի զոհ և տուժած զինծառայողների և սահմանամերձ քաղաքացիական բնակչության իրավական, սոցիալ-տնտեսական, հոգեբանական և այլ խնդիրների մշտադիտարկում,</w:t>
      </w:r>
    </w:p>
    <w:p w:rsidR="00C92AF2" w:rsidRPr="00E20915" w:rsidRDefault="00C92AF2" w:rsidP="00C92AF2">
      <w:pPr>
        <w:numPr>
          <w:ilvl w:val="0"/>
          <w:numId w:val="2"/>
        </w:numPr>
        <w:tabs>
          <w:tab w:val="clear" w:pos="720"/>
        </w:tabs>
        <w:spacing w:after="120"/>
        <w:ind w:left="426"/>
        <w:rPr>
          <w:color w:val="000000"/>
          <w:lang w:val="hy-AM" w:eastAsia="ru-RU"/>
        </w:rPr>
      </w:pPr>
      <w:r w:rsidRPr="00E20915">
        <w:rPr>
          <w:color w:val="000000"/>
          <w:lang w:val="hy-AM" w:eastAsia="ru-RU"/>
        </w:rPr>
        <w:t>այլ թեմաներով մշտադիտարկումներ:</w:t>
      </w:r>
    </w:p>
    <w:p w:rsidR="00C92AF2" w:rsidRPr="00E20915" w:rsidRDefault="00C92AF2" w:rsidP="00C92AF2">
      <w:pPr>
        <w:spacing w:after="120"/>
        <w:ind w:left="426"/>
        <w:rPr>
          <w:color w:val="000000"/>
          <w:lang w:val="hy-AM" w:eastAsia="ru-RU"/>
        </w:rPr>
      </w:pPr>
    </w:p>
    <w:p w:rsidR="00C92AF2" w:rsidRPr="00E20915" w:rsidRDefault="00C92AF2" w:rsidP="00C92AF2">
      <w:pPr>
        <w:spacing w:after="120"/>
        <w:ind w:firstLine="567"/>
        <w:rPr>
          <w:b/>
          <w:bCs/>
          <w:color w:val="000000"/>
          <w:lang w:val="hy-AM" w:eastAsia="ru-RU"/>
        </w:rPr>
      </w:pPr>
      <w:r w:rsidRPr="00E20915">
        <w:rPr>
          <w:b/>
          <w:bCs/>
          <w:iCs/>
          <w:color w:val="000000"/>
          <w:lang w:val="hy-AM" w:eastAsia="ru-RU"/>
        </w:rPr>
        <w:t>**Քաղաքացիական հասարակության հզորացումը ենթադրում է.</w:t>
      </w:r>
    </w:p>
    <w:p w:rsidR="00C92AF2" w:rsidRPr="00E20915" w:rsidRDefault="00C92AF2" w:rsidP="00C92AF2">
      <w:pPr>
        <w:numPr>
          <w:ilvl w:val="0"/>
          <w:numId w:val="3"/>
        </w:numPr>
        <w:tabs>
          <w:tab w:val="clear" w:pos="720"/>
        </w:tabs>
        <w:spacing w:after="120"/>
        <w:ind w:left="426"/>
        <w:rPr>
          <w:color w:val="000000"/>
          <w:lang w:val="hy-AM" w:eastAsia="ru-RU"/>
        </w:rPr>
      </w:pPr>
      <w:r w:rsidRPr="00E20915">
        <w:rPr>
          <w:color w:val="000000"/>
          <w:lang w:val="hy-AM" w:eastAsia="ru-RU"/>
        </w:rPr>
        <w:t xml:space="preserve">հանրային մասնակցության և վերահսկողության արդյունավետ մեխանիզմների ստեղծում, </w:t>
      </w:r>
    </w:p>
    <w:p w:rsidR="00C92AF2" w:rsidRPr="00E20915" w:rsidRDefault="00C92AF2" w:rsidP="00C92AF2">
      <w:pPr>
        <w:numPr>
          <w:ilvl w:val="0"/>
          <w:numId w:val="3"/>
        </w:numPr>
        <w:tabs>
          <w:tab w:val="clear" w:pos="720"/>
        </w:tabs>
        <w:spacing w:after="120"/>
        <w:ind w:left="426"/>
        <w:rPr>
          <w:color w:val="000000"/>
          <w:lang w:val="hy-AM" w:eastAsia="ru-RU"/>
        </w:rPr>
      </w:pPr>
      <w:r w:rsidRPr="00E20915">
        <w:rPr>
          <w:color w:val="000000"/>
          <w:lang w:val="hy-AM" w:eastAsia="ru-RU"/>
        </w:rPr>
        <w:t xml:space="preserve">համայնքի զարգացման այլընտրանքային ռազմավարությունների մշակում, </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t>ՏԻՄ-երի հետ երկխոսության ու համագործակցության զարգացմանն ուղղված նախաձեռնությունների խրախուսում</w:t>
      </w:r>
      <w:r w:rsidRPr="001D2DBD">
        <w:rPr>
          <w:b/>
          <w:bCs/>
          <w:color w:val="000000"/>
          <w:lang w:val="hy-AM" w:eastAsia="ru-RU"/>
        </w:rPr>
        <w:t>,</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lastRenderedPageBreak/>
        <w:t>համայնքի սոցիալական</w:t>
      </w:r>
      <w:r w:rsidRPr="00E20915">
        <w:rPr>
          <w:color w:val="000000"/>
          <w:lang w:val="hy-AM" w:eastAsia="ru-RU"/>
        </w:rPr>
        <w:t>՝ ոչ նյութական</w:t>
      </w:r>
      <w:r w:rsidRPr="001D2DBD">
        <w:rPr>
          <w:color w:val="000000"/>
          <w:lang w:val="hy-AM" w:eastAsia="ru-RU"/>
        </w:rPr>
        <w:t xml:space="preserve"> կապիտալի ներուժ</w:t>
      </w:r>
      <w:r w:rsidRPr="00E20915">
        <w:rPr>
          <w:color w:val="000000"/>
          <w:lang w:val="hy-AM" w:eastAsia="ru-RU"/>
        </w:rPr>
        <w:t>ի</w:t>
      </w:r>
      <w:r w:rsidRPr="001D2DBD">
        <w:rPr>
          <w:color w:val="000000"/>
          <w:lang w:val="hy-AM" w:eastAsia="ru-RU"/>
        </w:rPr>
        <w:t xml:space="preserve"> օգտագործում</w:t>
      </w:r>
      <w:r w:rsidRPr="001D2DBD">
        <w:rPr>
          <w:b/>
          <w:bCs/>
          <w:color w:val="000000"/>
          <w:lang w:val="hy-AM" w:eastAsia="ru-RU"/>
        </w:rPr>
        <w:t>,</w:t>
      </w:r>
      <w:r w:rsidRPr="001D2DBD">
        <w:rPr>
          <w:color w:val="000000"/>
          <w:lang w:val="hy-AM" w:eastAsia="ru-RU"/>
        </w:rPr>
        <w:t xml:space="preserve"> </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t xml:space="preserve">պետական, տարածքային և համայնքային ծրագրերի (ներառյալ սուբվենցիոն ծրագրերը) մշտադիտարկում, </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t>հանրային քաղաքականություն և շահերի պաշտպանություն,</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t>ՔՀԿ կայունության ցուցանիշի բարելավում (իրավական միջավայր, ֆինանսական կայունություն, կազմակերպական կարողություններ, ծառայությունների մատուցում, ենթակառուցվածք, հանրային ընկալում),</w:t>
      </w:r>
    </w:p>
    <w:p w:rsidR="00C92AF2" w:rsidRPr="001D2DBD" w:rsidRDefault="00C92AF2" w:rsidP="00C92AF2">
      <w:pPr>
        <w:numPr>
          <w:ilvl w:val="0"/>
          <w:numId w:val="3"/>
        </w:numPr>
        <w:tabs>
          <w:tab w:val="clear" w:pos="720"/>
        </w:tabs>
        <w:spacing w:after="120"/>
        <w:ind w:left="426"/>
        <w:rPr>
          <w:color w:val="000000"/>
          <w:lang w:val="hy-AM" w:eastAsia="ru-RU"/>
        </w:rPr>
      </w:pPr>
      <w:r w:rsidRPr="001D2DBD">
        <w:rPr>
          <w:color w:val="000000"/>
          <w:lang w:val="hy-AM" w:eastAsia="ru-RU"/>
        </w:rPr>
        <w:t xml:space="preserve">ՔՀԿ-ների մարդկային ռեսուսների և ինստիտուցիոնալ կարողությունների հզորացում, կենսունակ կազմակերպությունների ստեղծում, </w:t>
      </w:r>
    </w:p>
    <w:p w:rsidR="00C92AF2" w:rsidRPr="001D2DBD" w:rsidRDefault="00C92AF2" w:rsidP="00C92AF2">
      <w:pPr>
        <w:numPr>
          <w:ilvl w:val="0"/>
          <w:numId w:val="3"/>
        </w:numPr>
        <w:tabs>
          <w:tab w:val="clear" w:pos="720"/>
        </w:tabs>
        <w:spacing w:after="120"/>
        <w:ind w:left="426"/>
        <w:rPr>
          <w:color w:val="000000"/>
          <w:lang w:val="hy-AM" w:eastAsia="ru-RU"/>
        </w:rPr>
      </w:pPr>
      <w:r w:rsidRPr="00E20915">
        <w:rPr>
          <w:color w:val="000000"/>
          <w:lang w:val="hy-AM" w:eastAsia="ru-RU"/>
        </w:rPr>
        <w:t>ՔՀԿ-ների</w:t>
      </w:r>
      <w:r w:rsidRPr="001D2DBD">
        <w:rPr>
          <w:color w:val="000000"/>
          <w:lang w:val="hy-AM" w:eastAsia="ru-RU"/>
        </w:rPr>
        <w:t xml:space="preserve"> կառուցվածքի և կառավարման բարելավում, </w:t>
      </w:r>
    </w:p>
    <w:p w:rsidR="00C92AF2" w:rsidRPr="001D2DBD" w:rsidRDefault="00C92AF2" w:rsidP="00C92AF2">
      <w:pPr>
        <w:numPr>
          <w:ilvl w:val="0"/>
          <w:numId w:val="3"/>
        </w:numPr>
        <w:tabs>
          <w:tab w:val="clear" w:pos="720"/>
        </w:tabs>
        <w:spacing w:after="120"/>
        <w:ind w:left="426"/>
        <w:rPr>
          <w:color w:val="000000"/>
          <w:lang w:val="hy-AM" w:eastAsia="ru-RU"/>
        </w:rPr>
      </w:pPr>
      <w:r w:rsidRPr="00E20915">
        <w:rPr>
          <w:color w:val="000000"/>
          <w:lang w:val="hy-AM" w:eastAsia="ru-RU"/>
        </w:rPr>
        <w:t>ՔՀԿ-ների</w:t>
      </w:r>
      <w:r w:rsidRPr="001D2DBD">
        <w:rPr>
          <w:color w:val="000000"/>
          <w:lang w:val="hy-AM" w:eastAsia="ru-RU"/>
        </w:rPr>
        <w:t xml:space="preserve"> ներքին և արտաքին գնահատում, ռազմավարական ծրագրի</w:t>
      </w:r>
      <w:r w:rsidRPr="00E20915">
        <w:rPr>
          <w:color w:val="000000"/>
          <w:lang w:val="hy-AM" w:eastAsia="ru-RU"/>
        </w:rPr>
        <w:t xml:space="preserve"> և այլ փաստաթղթերի</w:t>
      </w:r>
      <w:r w:rsidRPr="001D2DBD">
        <w:rPr>
          <w:color w:val="000000"/>
          <w:lang w:val="hy-AM" w:eastAsia="ru-RU"/>
        </w:rPr>
        <w:t xml:space="preserve"> կազմում,</w:t>
      </w:r>
    </w:p>
    <w:p w:rsidR="00C92AF2" w:rsidRPr="001D2DBD" w:rsidRDefault="00C92AF2" w:rsidP="00C92AF2">
      <w:pPr>
        <w:numPr>
          <w:ilvl w:val="0"/>
          <w:numId w:val="3"/>
        </w:numPr>
        <w:tabs>
          <w:tab w:val="clear" w:pos="720"/>
        </w:tabs>
        <w:spacing w:after="120"/>
        <w:ind w:left="426"/>
        <w:jc w:val="left"/>
        <w:rPr>
          <w:color w:val="000000"/>
          <w:lang w:val="hy-AM" w:eastAsia="ru-RU"/>
        </w:rPr>
      </w:pPr>
      <w:r w:rsidRPr="00E20915">
        <w:rPr>
          <w:color w:val="000000"/>
          <w:lang w:val="hy-AM" w:eastAsia="ru-RU"/>
        </w:rPr>
        <w:t>ՔՀԿ-ների</w:t>
      </w:r>
      <w:r w:rsidRPr="001D2DBD">
        <w:rPr>
          <w:color w:val="000000"/>
          <w:lang w:val="hy-AM" w:eastAsia="ru-RU"/>
        </w:rPr>
        <w:t xml:space="preserve"> հանրային հարաբերությունների կառուցման և միջոցների հայթայթման գործիքակազմի մշակում,</w:t>
      </w:r>
    </w:p>
    <w:p w:rsidR="00C92AF2" w:rsidRPr="00E20915" w:rsidRDefault="00C92AF2" w:rsidP="00C92AF2">
      <w:pPr>
        <w:numPr>
          <w:ilvl w:val="0"/>
          <w:numId w:val="3"/>
        </w:numPr>
        <w:tabs>
          <w:tab w:val="clear" w:pos="720"/>
        </w:tabs>
        <w:spacing w:after="120"/>
        <w:ind w:left="426"/>
        <w:jc w:val="left"/>
        <w:rPr>
          <w:color w:val="000000"/>
          <w:lang w:eastAsia="ru-RU"/>
        </w:rPr>
      </w:pPr>
      <w:proofErr w:type="spellStart"/>
      <w:r w:rsidRPr="00E20915">
        <w:rPr>
          <w:color w:val="000000"/>
          <w:lang w:eastAsia="ru-RU"/>
        </w:rPr>
        <w:t>այլ</w:t>
      </w:r>
      <w:proofErr w:type="spellEnd"/>
      <w:r w:rsidRPr="00E20915">
        <w:rPr>
          <w:color w:val="000000"/>
          <w:lang w:val="ru-RU" w:eastAsia="ru-RU"/>
        </w:rPr>
        <w:t xml:space="preserve"> </w:t>
      </w:r>
      <w:r w:rsidRPr="00E20915">
        <w:rPr>
          <w:color w:val="000000"/>
          <w:lang w:val="hy-AM" w:eastAsia="ru-RU"/>
        </w:rPr>
        <w:t>գործողություններ</w:t>
      </w:r>
      <w:r w:rsidRPr="00E20915">
        <w:rPr>
          <w:color w:val="000000"/>
          <w:lang w:eastAsia="ru-RU"/>
        </w:rPr>
        <w:t>:</w:t>
      </w:r>
    </w:p>
    <w:p w:rsidR="00C92AF2" w:rsidRPr="00E20915" w:rsidRDefault="00C92AF2" w:rsidP="00C92AF2">
      <w:pPr>
        <w:spacing w:after="120"/>
        <w:ind w:left="426"/>
        <w:rPr>
          <w:color w:val="000000"/>
          <w:lang w:eastAsia="ru-RU"/>
        </w:rPr>
      </w:pPr>
    </w:p>
    <w:p w:rsidR="00C92AF2" w:rsidRPr="00E20915" w:rsidRDefault="00C92AF2" w:rsidP="00C92AF2">
      <w:pPr>
        <w:spacing w:after="120"/>
        <w:ind w:firstLine="567"/>
        <w:rPr>
          <w:b/>
          <w:bCs/>
          <w:color w:val="000000"/>
          <w:lang w:val="hy-AM" w:eastAsia="ru-RU"/>
        </w:rPr>
      </w:pPr>
      <w:r w:rsidRPr="00E20915">
        <w:rPr>
          <w:b/>
          <w:bCs/>
          <w:iCs/>
          <w:color w:val="000000"/>
          <w:lang w:val="hy-AM" w:eastAsia="ru-RU"/>
        </w:rPr>
        <w:t>***Հետազոտական-վերլուծական ծրագրերը ենթադրում են</w:t>
      </w:r>
      <w:r w:rsidRPr="00E20915">
        <w:rPr>
          <w:b/>
          <w:bCs/>
          <w:color w:val="000000"/>
          <w:lang w:val="hy-AM" w:eastAsia="ru-RU"/>
        </w:rPr>
        <w:t>.</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ՀՀ Սյունիքի, Գեղարքունիքի և Շիրակի մարզերի հասարակական-քաղաքական, սոցիալ-տնտեսական, կրթական-մշակութային, առողջապահական-բնապահպանական և բարոյահոգեբանական իրավիճակի հետազոտություն-վերլուծություն,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համայնքներում առկա և միավորման արդյունքում ձևավորված ռեսուրսների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միջհամայնքային և ներհամայնքային կառավարման, սոցիալ-տնտեսական, կրթամշակութային ինտեգրման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տեղական մակարդակում որոշումների կայացմանը մասնակցության մեխանիզմները և դրանց ընդլայնման հնարավորությունների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միավորված համայնքների ոչ նյութական ռեսուրսների գնահատում,</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շահառու մարզերի հեռավոր ու սահմանային համայնքներում ժողովրդագրական պատկերի և զարգացման միտումների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տեղական մակարդակում որոշումների կայացման գործընթացներում ՔՀԿ-ների դերի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քաղաքացիական հասարակության ոլորտում պետական, տարածքային կառավարման և տեղական ինքնակառավարման մարմինների աջակցության հետազոտություն,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 xml:space="preserve">ՔՀԿ ոլորտին աջակցող ենթակառուցվածքների վերլուծություն, ՔՀԿ հանրային ընկալման դինամիկայի վերլուծություն, </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տեղական մակարդակում ՔՀԿ-ների մատուցած ծառայությունների արդյունավետության վերլուծություն,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ՔՀԿ-ների իրականացրած շահերի պաշտպանության և մշտադիտարկման արդյունավետության վերլուծություն,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ՔՀԿ-ների ֆինանսական կայունության, ձեռնարկատիրական գործունեություն ծավալելու արդյունավետության և մեխանիզմների վերլուծություն,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t>համայնքահեն ՔՀԿ-ների կազմակերպական կարողությունների և դրանց հզորացման հնարավորությունների վերլուծություն,</w:t>
      </w:r>
    </w:p>
    <w:p w:rsidR="00C92AF2" w:rsidRPr="00E20915" w:rsidRDefault="00C92AF2" w:rsidP="00C92AF2">
      <w:pPr>
        <w:numPr>
          <w:ilvl w:val="0"/>
          <w:numId w:val="4"/>
        </w:numPr>
        <w:spacing w:after="120"/>
        <w:rPr>
          <w:bCs/>
          <w:iCs/>
          <w:color w:val="000000"/>
          <w:lang w:val="hy-AM" w:eastAsia="ru-RU"/>
        </w:rPr>
      </w:pPr>
      <w:r w:rsidRPr="00E20915">
        <w:rPr>
          <w:bCs/>
          <w:iCs/>
          <w:color w:val="000000"/>
          <w:lang w:val="hy-AM" w:eastAsia="ru-RU"/>
        </w:rPr>
        <w:lastRenderedPageBreak/>
        <w:t>ՔՀԿ-ների իրավական միջավայրի և դրա կատարելագործման ուղիների վերլուծություն։</w:t>
      </w:r>
    </w:p>
    <w:p w:rsidR="00A10308" w:rsidRPr="00C92AF2" w:rsidRDefault="00A10308">
      <w:pPr>
        <w:rPr>
          <w:lang w:val="hy-AM"/>
        </w:rPr>
      </w:pPr>
    </w:p>
    <w:sectPr w:rsidR="00A10308" w:rsidRPr="00C92AF2" w:rsidSect="006615BF">
      <w:pgSz w:w="11907" w:h="16840" w:code="9"/>
      <w:pgMar w:top="720" w:right="720" w:bottom="72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0B23"/>
    <w:multiLevelType w:val="hybridMultilevel"/>
    <w:tmpl w:val="CB82C0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2C6A210B"/>
    <w:multiLevelType w:val="multilevel"/>
    <w:tmpl w:val="DBF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04720"/>
    <w:multiLevelType w:val="multilevel"/>
    <w:tmpl w:val="A21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C63890"/>
    <w:multiLevelType w:val="multilevel"/>
    <w:tmpl w:val="508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F2"/>
    <w:rsid w:val="006830B1"/>
    <w:rsid w:val="00696F42"/>
    <w:rsid w:val="00A10308"/>
    <w:rsid w:val="00C92AF2"/>
    <w:rsid w:val="00EC0831"/>
    <w:rsid w:val="00FD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0352A-FDC8-4824-9DC7-2438FA43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F2"/>
    <w:pPr>
      <w:spacing w:after="100" w:line="240" w:lineRule="auto"/>
      <w:ind w:firstLine="720"/>
      <w:jc w:val="both"/>
    </w:pPr>
    <w:rPr>
      <w:rFonts w:eastAsia="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2023-11-13T10:34:00Z</dcterms:created>
  <dcterms:modified xsi:type="dcterms:W3CDTF">2023-11-13T11:10:00Z</dcterms:modified>
</cp:coreProperties>
</file>